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92" w:rsidRDefault="00672092" w:rsidP="00672092">
      <w:pPr>
        <w:pStyle w:val="Default"/>
      </w:pPr>
    </w:p>
    <w:p w:rsidR="00672092" w:rsidRPr="00D14E54" w:rsidRDefault="00672092" w:rsidP="00672092">
      <w:pPr>
        <w:pStyle w:val="Default"/>
        <w:jc w:val="center"/>
      </w:pPr>
      <w:r w:rsidRPr="00D14E54">
        <w:t>STATEMENT OF WORK</w:t>
      </w:r>
    </w:p>
    <w:p w:rsidR="001D039B" w:rsidRPr="00D14E54" w:rsidRDefault="001D039B" w:rsidP="001D039B">
      <w:pPr>
        <w:pStyle w:val="Default"/>
        <w:jc w:val="center"/>
      </w:pPr>
      <w:r>
        <w:t>Furnish and Install Solar Renewable Energy System</w:t>
      </w:r>
    </w:p>
    <w:p w:rsidR="001D039B" w:rsidRDefault="001D039B" w:rsidP="001D039B">
      <w:pPr>
        <w:jc w:val="center"/>
      </w:pPr>
      <w:proofErr w:type="gramStart"/>
      <w:r w:rsidRPr="00D14E54">
        <w:t>at</w:t>
      </w:r>
      <w:proofErr w:type="gramEnd"/>
      <w:r w:rsidRPr="00D14E54">
        <w:t xml:space="preserve"> Building 300</w:t>
      </w:r>
      <w:r>
        <w:t xml:space="preserve">, Ft. </w:t>
      </w:r>
      <w:proofErr w:type="spellStart"/>
      <w:r>
        <w:t>Ruger</w:t>
      </w:r>
      <w:proofErr w:type="spellEnd"/>
      <w:r>
        <w:t xml:space="preserve">, State of Hawaii, Department of Defense, </w:t>
      </w:r>
    </w:p>
    <w:p w:rsidR="001D039B" w:rsidRPr="00D14E54" w:rsidRDefault="001D039B" w:rsidP="001D039B">
      <w:pPr>
        <w:jc w:val="center"/>
      </w:pPr>
      <w:proofErr w:type="gramStart"/>
      <w:r>
        <w:t>Hawaii Army National Guard, Job No.</w:t>
      </w:r>
      <w:proofErr w:type="gramEnd"/>
      <w:r>
        <w:t xml:space="preserve"> CA-1105-C</w:t>
      </w:r>
    </w:p>
    <w:p w:rsidR="00672092" w:rsidRPr="006214E1" w:rsidRDefault="00672092" w:rsidP="00672092">
      <w:pPr>
        <w:jc w:val="center"/>
        <w:rPr>
          <w:rFonts w:asciiTheme="minorHAnsi" w:hAnsiTheme="minorHAnsi"/>
        </w:rPr>
      </w:pPr>
    </w:p>
    <w:p w:rsidR="00C80872" w:rsidRPr="0053316C" w:rsidRDefault="00C80872" w:rsidP="00EB7C28">
      <w:pPr>
        <w:numPr>
          <w:ilvl w:val="0"/>
          <w:numId w:val="12"/>
        </w:numPr>
        <w:rPr>
          <w:rFonts w:asciiTheme="minorHAnsi" w:hAnsiTheme="minorHAnsi"/>
          <w:u w:val="single"/>
        </w:rPr>
      </w:pPr>
      <w:r w:rsidRPr="0053316C">
        <w:rPr>
          <w:rFonts w:asciiTheme="minorHAnsi" w:hAnsiTheme="minorHAnsi"/>
          <w:u w:val="single"/>
        </w:rPr>
        <w:t>GENERAL</w:t>
      </w:r>
    </w:p>
    <w:p w:rsidR="006214E1" w:rsidRPr="006214E1" w:rsidRDefault="00CA25F8" w:rsidP="000E424D">
      <w:pPr>
        <w:ind w:firstLine="720"/>
        <w:rPr>
          <w:rFonts w:asciiTheme="minorHAnsi" w:hAnsiTheme="minorHAnsi"/>
        </w:rPr>
      </w:pPr>
      <w:r w:rsidRPr="006214E1">
        <w:rPr>
          <w:rFonts w:asciiTheme="minorHAnsi" w:hAnsiTheme="minorHAnsi"/>
        </w:rPr>
        <w:t>Scope of Work</w:t>
      </w:r>
      <w:r w:rsidR="00DD0497">
        <w:rPr>
          <w:rFonts w:asciiTheme="minorHAnsi" w:hAnsiTheme="minorHAnsi"/>
        </w:rPr>
        <w:t>: CA-1105</w:t>
      </w:r>
      <w:r w:rsidR="00B57EA3" w:rsidRPr="006214E1">
        <w:rPr>
          <w:rFonts w:asciiTheme="minorHAnsi" w:hAnsiTheme="minorHAnsi"/>
        </w:rPr>
        <w:t>-C</w:t>
      </w:r>
      <w:r w:rsidR="000E424D">
        <w:rPr>
          <w:rFonts w:asciiTheme="minorHAnsi" w:hAnsiTheme="minorHAnsi"/>
        </w:rPr>
        <w:t xml:space="preserve">, </w:t>
      </w:r>
      <w:r w:rsidR="000F0E75" w:rsidRPr="006214E1">
        <w:rPr>
          <w:rFonts w:asciiTheme="minorHAnsi" w:hAnsiTheme="minorHAnsi"/>
        </w:rPr>
        <w:t>Hawaii Army Natio</w:t>
      </w:r>
      <w:r w:rsidR="006214E1" w:rsidRPr="006214E1">
        <w:rPr>
          <w:rFonts w:asciiTheme="minorHAnsi" w:hAnsiTheme="minorHAnsi"/>
        </w:rPr>
        <w:t xml:space="preserve">nal </w:t>
      </w:r>
      <w:r w:rsidR="00465B98">
        <w:rPr>
          <w:rFonts w:asciiTheme="minorHAnsi" w:hAnsiTheme="minorHAnsi"/>
        </w:rPr>
        <w:t>Guard, Building 300</w:t>
      </w:r>
      <w:r w:rsidR="002A1729" w:rsidRPr="006214E1">
        <w:rPr>
          <w:rFonts w:asciiTheme="minorHAnsi" w:hAnsiTheme="minorHAnsi"/>
        </w:rPr>
        <w:t xml:space="preserve">. </w:t>
      </w:r>
      <w:r w:rsidR="00C7538E" w:rsidRPr="006214E1">
        <w:rPr>
          <w:rFonts w:asciiTheme="minorHAnsi" w:hAnsiTheme="minorHAnsi"/>
        </w:rPr>
        <w:t xml:space="preserve"> </w:t>
      </w:r>
    </w:p>
    <w:p w:rsidR="00602FC9" w:rsidRPr="006214E1" w:rsidRDefault="00C7538E" w:rsidP="000E424D">
      <w:pPr>
        <w:ind w:left="720" w:firstLine="720"/>
        <w:rPr>
          <w:rFonts w:asciiTheme="minorHAnsi" w:hAnsiTheme="minorHAnsi"/>
        </w:rPr>
      </w:pPr>
      <w:r w:rsidRPr="006214E1">
        <w:rPr>
          <w:rFonts w:asciiTheme="minorHAnsi" w:hAnsiTheme="minorHAnsi"/>
        </w:rPr>
        <w:t>C</w:t>
      </w:r>
      <w:r w:rsidR="00D10863" w:rsidRPr="006214E1">
        <w:rPr>
          <w:rFonts w:asciiTheme="minorHAnsi" w:hAnsiTheme="minorHAnsi"/>
        </w:rPr>
        <w:t xml:space="preserve">ontractor to furnish and install </w:t>
      </w:r>
      <w:r w:rsidR="002635D1" w:rsidRPr="006214E1">
        <w:rPr>
          <w:rFonts w:asciiTheme="minorHAnsi" w:hAnsiTheme="minorHAnsi"/>
        </w:rPr>
        <w:t>Solar Renewable Energy System</w:t>
      </w:r>
      <w:r w:rsidR="00602FC9" w:rsidRPr="006214E1">
        <w:rPr>
          <w:rFonts w:asciiTheme="minorHAnsi" w:hAnsiTheme="minorHAnsi"/>
        </w:rPr>
        <w:t xml:space="preserve">. </w:t>
      </w:r>
      <w:r w:rsidR="006214E1" w:rsidRPr="006214E1">
        <w:rPr>
          <w:rFonts w:asciiTheme="minorHAnsi" w:hAnsiTheme="minorHAnsi"/>
        </w:rPr>
        <w:t>Apply for</w:t>
      </w:r>
      <w:r w:rsidR="00166D33" w:rsidRPr="006214E1">
        <w:rPr>
          <w:rFonts w:asciiTheme="minorHAnsi" w:hAnsiTheme="minorHAnsi"/>
        </w:rPr>
        <w:t xml:space="preserve"> Net Energy </w:t>
      </w:r>
      <w:r w:rsidR="00602FC9" w:rsidRPr="006214E1">
        <w:rPr>
          <w:rFonts w:asciiTheme="minorHAnsi" w:hAnsiTheme="minorHAnsi"/>
        </w:rPr>
        <w:t xml:space="preserve">Metering </w:t>
      </w:r>
      <w:r w:rsidR="00166D33" w:rsidRPr="006214E1">
        <w:rPr>
          <w:rFonts w:asciiTheme="minorHAnsi" w:hAnsiTheme="minorHAnsi"/>
        </w:rPr>
        <w:t xml:space="preserve">(NEM) </w:t>
      </w:r>
      <w:r w:rsidR="006214E1" w:rsidRPr="006214E1">
        <w:rPr>
          <w:rFonts w:asciiTheme="minorHAnsi" w:hAnsiTheme="minorHAnsi"/>
        </w:rPr>
        <w:t xml:space="preserve">agreement </w:t>
      </w:r>
      <w:r w:rsidR="00166D33" w:rsidRPr="006214E1">
        <w:rPr>
          <w:rFonts w:asciiTheme="minorHAnsi" w:hAnsiTheme="minorHAnsi"/>
        </w:rPr>
        <w:t>in accordance with Hawaiian Electric Company (HECO)</w:t>
      </w:r>
      <w:r w:rsidR="000E424D">
        <w:rPr>
          <w:rFonts w:asciiTheme="minorHAnsi" w:hAnsiTheme="minorHAnsi"/>
        </w:rPr>
        <w:t xml:space="preserve"> </w:t>
      </w:r>
      <w:r w:rsidR="00A60011">
        <w:rPr>
          <w:rFonts w:asciiTheme="minorHAnsi" w:hAnsiTheme="minorHAnsi"/>
        </w:rPr>
        <w:t>guidance</w:t>
      </w:r>
      <w:r w:rsidR="00166D33" w:rsidRPr="006214E1">
        <w:rPr>
          <w:rFonts w:asciiTheme="minorHAnsi" w:hAnsiTheme="minorHAnsi"/>
        </w:rPr>
        <w:t>. Renewable Solar Energy generation system will export power back to the grid and/or reduce the amount of power purchased from HECO, system wil</w:t>
      </w:r>
      <w:r w:rsidR="00FF460F" w:rsidRPr="006214E1">
        <w:rPr>
          <w:rFonts w:asciiTheme="minorHAnsi" w:hAnsiTheme="minorHAnsi"/>
        </w:rPr>
        <w:t>l remain connected grid-tied</w:t>
      </w:r>
      <w:r w:rsidR="00166D33" w:rsidRPr="006214E1">
        <w:rPr>
          <w:rFonts w:asciiTheme="minorHAnsi" w:hAnsiTheme="minorHAnsi"/>
        </w:rPr>
        <w:t xml:space="preserve"> with the utility’s grid per interconnection agreement. Provide all required documentation for HECO NEM agreement requirements.</w:t>
      </w:r>
      <w:r w:rsidR="000E424D">
        <w:rPr>
          <w:rFonts w:asciiTheme="minorHAnsi" w:hAnsiTheme="minorHAnsi"/>
        </w:rPr>
        <w:t xml:space="preserve"> Provide building permit per HECO NEM requirements.</w:t>
      </w:r>
    </w:p>
    <w:p w:rsidR="000E424D" w:rsidRDefault="00B406F0" w:rsidP="001D039B">
      <w:pPr>
        <w:ind w:left="720" w:firstLine="720"/>
        <w:rPr>
          <w:rFonts w:asciiTheme="minorHAnsi" w:hAnsiTheme="minorHAnsi"/>
        </w:rPr>
      </w:pPr>
      <w:r w:rsidRPr="006214E1">
        <w:rPr>
          <w:rFonts w:asciiTheme="minorHAnsi" w:hAnsiTheme="minorHAnsi"/>
        </w:rPr>
        <w:t xml:space="preserve">See </w:t>
      </w:r>
      <w:r w:rsidR="00280256" w:rsidRPr="006214E1">
        <w:rPr>
          <w:rFonts w:asciiTheme="minorHAnsi" w:hAnsiTheme="minorHAnsi"/>
        </w:rPr>
        <w:t xml:space="preserve">attached Drawings and </w:t>
      </w:r>
      <w:r w:rsidRPr="006214E1">
        <w:rPr>
          <w:rFonts w:asciiTheme="minorHAnsi" w:hAnsiTheme="minorHAnsi"/>
        </w:rPr>
        <w:t>Spe</w:t>
      </w:r>
      <w:r w:rsidR="00280256" w:rsidRPr="006214E1">
        <w:rPr>
          <w:rFonts w:asciiTheme="minorHAnsi" w:hAnsiTheme="minorHAnsi"/>
        </w:rPr>
        <w:t>cifications for Solar Renewable Energy System requirements</w:t>
      </w:r>
      <w:r w:rsidR="002A1729" w:rsidRPr="006214E1">
        <w:rPr>
          <w:rFonts w:asciiTheme="minorHAnsi" w:hAnsiTheme="minorHAnsi"/>
        </w:rPr>
        <w:t xml:space="preserve"> and warranty requirements.</w:t>
      </w:r>
      <w:r w:rsidR="008E6948" w:rsidRPr="006214E1">
        <w:rPr>
          <w:rFonts w:asciiTheme="minorHAnsi" w:hAnsiTheme="minorHAnsi"/>
        </w:rPr>
        <w:t xml:space="preserve"> </w:t>
      </w:r>
    </w:p>
    <w:p w:rsidR="00DA45CF" w:rsidRPr="006214E1" w:rsidRDefault="00CE20FA" w:rsidP="000E424D">
      <w:pPr>
        <w:ind w:left="720" w:firstLine="720"/>
        <w:rPr>
          <w:rFonts w:asciiTheme="minorHAnsi" w:hAnsiTheme="minorHAnsi"/>
        </w:rPr>
      </w:pPr>
      <w:r w:rsidRPr="00887B3B">
        <w:rPr>
          <w:rFonts w:asciiTheme="minorHAnsi" w:hAnsiTheme="minorHAnsi"/>
        </w:rPr>
        <w:t>Prime contractor to have completed</w:t>
      </w:r>
      <w:r w:rsidR="00DA45CF" w:rsidRPr="00887B3B">
        <w:rPr>
          <w:rFonts w:asciiTheme="minorHAnsi" w:hAnsiTheme="minorHAnsi"/>
        </w:rPr>
        <w:t xml:space="preserve"> </w:t>
      </w:r>
      <w:r w:rsidR="00417E2D" w:rsidRPr="00887B3B">
        <w:rPr>
          <w:rFonts w:asciiTheme="minorHAnsi" w:hAnsiTheme="minorHAnsi"/>
        </w:rPr>
        <w:t>a</w:t>
      </w:r>
      <w:r w:rsidR="00280256" w:rsidRPr="00887B3B">
        <w:rPr>
          <w:rFonts w:asciiTheme="minorHAnsi" w:hAnsiTheme="minorHAnsi"/>
        </w:rPr>
        <w:t xml:space="preserve"> </w:t>
      </w:r>
      <w:r w:rsidRPr="00887B3B">
        <w:rPr>
          <w:rFonts w:asciiTheme="minorHAnsi" w:hAnsiTheme="minorHAnsi"/>
        </w:rPr>
        <w:t xml:space="preserve">minimum of </w:t>
      </w:r>
      <w:r w:rsidR="000E424D" w:rsidRPr="00887B3B">
        <w:rPr>
          <w:rFonts w:asciiTheme="minorHAnsi" w:hAnsiTheme="minorHAnsi"/>
        </w:rPr>
        <w:t>one (1</w:t>
      </w:r>
      <w:r w:rsidR="00417E2D" w:rsidRPr="00887B3B">
        <w:rPr>
          <w:rFonts w:asciiTheme="minorHAnsi" w:hAnsiTheme="minorHAnsi"/>
        </w:rPr>
        <w:t xml:space="preserve">) </w:t>
      </w:r>
      <w:r w:rsidR="00FF460F" w:rsidRPr="00887B3B">
        <w:rPr>
          <w:rFonts w:asciiTheme="minorHAnsi" w:hAnsiTheme="minorHAnsi"/>
        </w:rPr>
        <w:t xml:space="preserve">NEM solar </w:t>
      </w:r>
      <w:r w:rsidR="000E424D" w:rsidRPr="00887B3B">
        <w:rPr>
          <w:rFonts w:asciiTheme="minorHAnsi" w:hAnsiTheme="minorHAnsi"/>
        </w:rPr>
        <w:t>project for Federal, State and/or County department</w:t>
      </w:r>
      <w:r w:rsidR="00FF460F" w:rsidRPr="00887B3B">
        <w:rPr>
          <w:rFonts w:asciiTheme="minorHAnsi" w:hAnsiTheme="minorHAnsi"/>
        </w:rPr>
        <w:t>.</w:t>
      </w:r>
      <w:r w:rsidR="006214E1" w:rsidRPr="00887B3B">
        <w:rPr>
          <w:rFonts w:asciiTheme="minorHAnsi" w:hAnsiTheme="minorHAnsi"/>
        </w:rPr>
        <w:t xml:space="preserve">  </w:t>
      </w:r>
      <w:r w:rsidR="000E424D" w:rsidRPr="00887B3B">
        <w:rPr>
          <w:rFonts w:asciiTheme="minorHAnsi" w:hAnsiTheme="minorHAnsi"/>
        </w:rPr>
        <w:t>Prime contractor must hold a valid State of Hawaii</w:t>
      </w:r>
      <w:r w:rsidRPr="00887B3B">
        <w:rPr>
          <w:rFonts w:asciiTheme="minorHAnsi" w:hAnsiTheme="minorHAnsi"/>
        </w:rPr>
        <w:t xml:space="preserve"> class</w:t>
      </w:r>
      <w:r w:rsidR="000E424D" w:rsidRPr="00887B3B">
        <w:rPr>
          <w:rFonts w:asciiTheme="minorHAnsi" w:hAnsiTheme="minorHAnsi"/>
        </w:rPr>
        <w:t xml:space="preserve"> B</w:t>
      </w:r>
      <w:r w:rsidRPr="00887B3B">
        <w:rPr>
          <w:rFonts w:asciiTheme="minorHAnsi" w:hAnsiTheme="minorHAnsi"/>
        </w:rPr>
        <w:t xml:space="preserve"> (General Building) </w:t>
      </w:r>
      <w:r w:rsidR="000E424D" w:rsidRPr="00887B3B">
        <w:rPr>
          <w:rFonts w:asciiTheme="minorHAnsi" w:hAnsiTheme="minorHAnsi"/>
        </w:rPr>
        <w:t>license</w:t>
      </w:r>
      <w:r w:rsidR="00967810">
        <w:rPr>
          <w:rFonts w:asciiTheme="minorHAnsi" w:hAnsiTheme="minorHAnsi"/>
        </w:rPr>
        <w:t xml:space="preserve"> or </w:t>
      </w:r>
      <w:r w:rsidR="00C73A29">
        <w:rPr>
          <w:rFonts w:asciiTheme="minorHAnsi" w:hAnsiTheme="minorHAnsi"/>
        </w:rPr>
        <w:t xml:space="preserve">(in lieu) </w:t>
      </w:r>
      <w:r w:rsidR="00967810">
        <w:rPr>
          <w:rFonts w:asciiTheme="minorHAnsi" w:hAnsiTheme="minorHAnsi"/>
        </w:rPr>
        <w:t>hold sufficient applicable C-licenses to act as prime contractor</w:t>
      </w:r>
      <w:r w:rsidR="000E424D" w:rsidRPr="00887B3B">
        <w:rPr>
          <w:rFonts w:asciiTheme="minorHAnsi" w:hAnsiTheme="minorHAnsi"/>
        </w:rPr>
        <w:t xml:space="preserve">. </w:t>
      </w:r>
      <w:r w:rsidR="00DA45CF" w:rsidRPr="00887B3B">
        <w:rPr>
          <w:rFonts w:asciiTheme="minorHAnsi" w:hAnsiTheme="minorHAnsi"/>
        </w:rPr>
        <w:t xml:space="preserve">Prime and/or sub-contractor must have: Hawaii Solar Energy Association </w:t>
      </w:r>
      <w:r w:rsidR="00417E2D" w:rsidRPr="00887B3B">
        <w:rPr>
          <w:rFonts w:asciiTheme="minorHAnsi" w:hAnsiTheme="minorHAnsi"/>
        </w:rPr>
        <w:t xml:space="preserve">(HSEA) </w:t>
      </w:r>
      <w:r w:rsidR="00DA45CF" w:rsidRPr="00887B3B">
        <w:rPr>
          <w:rFonts w:asciiTheme="minorHAnsi" w:hAnsiTheme="minorHAnsi"/>
        </w:rPr>
        <w:t>member</w:t>
      </w:r>
      <w:r w:rsidR="00417E2D" w:rsidRPr="00887B3B">
        <w:rPr>
          <w:rFonts w:asciiTheme="minorHAnsi" w:hAnsiTheme="minorHAnsi"/>
        </w:rPr>
        <w:t>. See Specifications SBA criteria.</w:t>
      </w:r>
      <w:r w:rsidR="006214E1" w:rsidRPr="00887B3B">
        <w:rPr>
          <w:rFonts w:asciiTheme="minorHAnsi" w:hAnsiTheme="minorHAnsi"/>
        </w:rPr>
        <w:t xml:space="preserve"> </w:t>
      </w:r>
      <w:r w:rsidR="000E424D" w:rsidRPr="00887B3B">
        <w:rPr>
          <w:rFonts w:asciiTheme="minorHAnsi" w:hAnsiTheme="minorHAnsi"/>
        </w:rPr>
        <w:t>Prime and/or sub-c</w:t>
      </w:r>
      <w:r w:rsidR="006214E1" w:rsidRPr="00887B3B">
        <w:rPr>
          <w:rFonts w:asciiTheme="minorHAnsi" w:hAnsiTheme="minorHAnsi"/>
        </w:rPr>
        <w:t>ontractor shall have a minimum of 5 years experience installing photovoltaic systems.</w:t>
      </w:r>
    </w:p>
    <w:p w:rsidR="006214E1" w:rsidRPr="006214E1" w:rsidRDefault="006214E1" w:rsidP="006214E1">
      <w:pPr>
        <w:ind w:left="720"/>
        <w:rPr>
          <w:rFonts w:asciiTheme="minorHAnsi" w:hAnsiTheme="minorHAnsi"/>
        </w:rPr>
      </w:pPr>
      <w:r w:rsidRPr="006214E1">
        <w:rPr>
          <w:rFonts w:asciiTheme="minorHAnsi" w:hAnsiTheme="minorHAnsi"/>
        </w:rPr>
        <w:tab/>
        <w:t>Davis-Bacon prevailing wage standards apply to all federally funded projects.  Certified payrolls must be submitted, and verified with each invoice.</w:t>
      </w:r>
    </w:p>
    <w:p w:rsidR="00AB7367" w:rsidRPr="006214E1" w:rsidRDefault="00AB7367" w:rsidP="00CB1577">
      <w:pPr>
        <w:rPr>
          <w:rFonts w:asciiTheme="minorHAnsi" w:hAnsiTheme="minorHAnsi"/>
        </w:rPr>
      </w:pPr>
    </w:p>
    <w:p w:rsidR="00E2410B" w:rsidRDefault="009F6615" w:rsidP="00CB1577">
      <w:pPr>
        <w:rPr>
          <w:rFonts w:asciiTheme="minorHAnsi" w:hAnsiTheme="minorHAnsi"/>
        </w:rPr>
      </w:pPr>
      <w:r w:rsidRPr="006214E1">
        <w:rPr>
          <w:rFonts w:asciiTheme="minorHAnsi" w:hAnsiTheme="minorHAnsi"/>
        </w:rPr>
        <w:tab/>
        <w:t>Drawings</w:t>
      </w:r>
      <w:r w:rsidR="000E424D">
        <w:rPr>
          <w:rFonts w:asciiTheme="minorHAnsi" w:hAnsiTheme="minorHAnsi"/>
        </w:rPr>
        <w:t>: pdfs of site</w:t>
      </w:r>
      <w:r w:rsidR="00B57EA3" w:rsidRPr="006214E1">
        <w:rPr>
          <w:rFonts w:asciiTheme="minorHAnsi" w:hAnsiTheme="minorHAnsi"/>
        </w:rPr>
        <w:t xml:space="preserve"> </w:t>
      </w:r>
      <w:r w:rsidR="000E424D">
        <w:rPr>
          <w:rFonts w:asciiTheme="minorHAnsi" w:hAnsiTheme="minorHAnsi"/>
        </w:rPr>
        <w:t>are</w:t>
      </w:r>
      <w:r w:rsidR="00DC56D9" w:rsidRPr="006214E1">
        <w:rPr>
          <w:rFonts w:asciiTheme="minorHAnsi" w:hAnsiTheme="minorHAnsi"/>
        </w:rPr>
        <w:t xml:space="preserve"> available.</w:t>
      </w:r>
      <w:r w:rsidR="004F3153">
        <w:rPr>
          <w:rFonts w:asciiTheme="minorHAnsi" w:hAnsiTheme="minorHAnsi"/>
        </w:rPr>
        <w:t xml:space="preserve"> Vendor responsible to field verify all existing conditions.</w:t>
      </w:r>
    </w:p>
    <w:p w:rsidR="006C3B9E" w:rsidRPr="006214E1" w:rsidRDefault="006C3B9E" w:rsidP="00CB1577">
      <w:pPr>
        <w:rPr>
          <w:rFonts w:asciiTheme="minorHAnsi" w:hAnsiTheme="minorHAnsi"/>
        </w:rPr>
      </w:pPr>
    </w:p>
    <w:p w:rsidR="00280256" w:rsidRPr="0053316C" w:rsidRDefault="003E2BAC" w:rsidP="00280256">
      <w:pPr>
        <w:numPr>
          <w:ilvl w:val="0"/>
          <w:numId w:val="12"/>
        </w:numPr>
        <w:rPr>
          <w:rFonts w:asciiTheme="minorHAnsi" w:hAnsiTheme="minorHAnsi"/>
          <w:u w:val="single"/>
        </w:rPr>
      </w:pPr>
      <w:r w:rsidRPr="0053316C">
        <w:rPr>
          <w:rFonts w:asciiTheme="minorHAnsi" w:hAnsiTheme="minorHAnsi"/>
          <w:u w:val="single"/>
        </w:rPr>
        <w:t>SPECIFICATIONS</w:t>
      </w:r>
    </w:p>
    <w:p w:rsidR="00280256" w:rsidRDefault="00280256" w:rsidP="00417E2D">
      <w:pPr>
        <w:numPr>
          <w:ilvl w:val="1"/>
          <w:numId w:val="12"/>
        </w:numPr>
        <w:rPr>
          <w:rFonts w:asciiTheme="minorHAnsi" w:hAnsiTheme="minorHAnsi"/>
        </w:rPr>
      </w:pPr>
      <w:r w:rsidRPr="006214E1">
        <w:rPr>
          <w:rFonts w:asciiTheme="minorHAnsi" w:hAnsiTheme="minorHAnsi"/>
        </w:rPr>
        <w:t>See attached Drawings and Specifications for Solar Renewable Energy System requirements.</w:t>
      </w:r>
    </w:p>
    <w:p w:rsidR="00967810" w:rsidRPr="00967810" w:rsidRDefault="00967810" w:rsidP="00967810">
      <w:pPr>
        <w:pStyle w:val="ListParagraph"/>
        <w:numPr>
          <w:ilvl w:val="2"/>
          <w:numId w:val="12"/>
        </w:numPr>
        <w:rPr>
          <w:rFonts w:asciiTheme="minorHAnsi" w:hAnsiTheme="minorHAnsi"/>
        </w:rPr>
      </w:pPr>
      <w:r>
        <w:rPr>
          <w:rFonts w:asciiTheme="minorHAnsi" w:hAnsiTheme="minorHAnsi"/>
        </w:rPr>
        <w:t>All references to “Contracting Officer” shall be replaced/reflected with “Project Manager”.</w:t>
      </w:r>
    </w:p>
    <w:p w:rsidR="002A1729" w:rsidRDefault="002A1729" w:rsidP="002A1729">
      <w:pPr>
        <w:numPr>
          <w:ilvl w:val="2"/>
          <w:numId w:val="12"/>
        </w:numPr>
        <w:rPr>
          <w:rFonts w:asciiTheme="minorHAnsi" w:hAnsiTheme="minorHAnsi"/>
        </w:rPr>
      </w:pPr>
      <w:r w:rsidRPr="006214E1">
        <w:rPr>
          <w:rFonts w:asciiTheme="minorHAnsi" w:hAnsiTheme="minorHAnsi"/>
        </w:rPr>
        <w:t>The HIARNG Project Mana</w:t>
      </w:r>
      <w:r w:rsidR="00967810">
        <w:rPr>
          <w:rFonts w:asciiTheme="minorHAnsi" w:hAnsiTheme="minorHAnsi"/>
        </w:rPr>
        <w:t xml:space="preserve">ger will serve </w:t>
      </w:r>
      <w:r w:rsidR="001D039B">
        <w:rPr>
          <w:rFonts w:asciiTheme="minorHAnsi" w:hAnsiTheme="minorHAnsi"/>
        </w:rPr>
        <w:t xml:space="preserve">as </w:t>
      </w:r>
      <w:r w:rsidR="00967810">
        <w:rPr>
          <w:rFonts w:asciiTheme="minorHAnsi" w:hAnsiTheme="minorHAnsi"/>
        </w:rPr>
        <w:t>point-of-contact for</w:t>
      </w:r>
      <w:r w:rsidRPr="006214E1">
        <w:rPr>
          <w:rFonts w:asciiTheme="minorHAnsi" w:hAnsiTheme="minorHAnsi"/>
        </w:rPr>
        <w:t xml:space="preserve"> State of Hawaii DOD</w:t>
      </w:r>
      <w:r w:rsidR="00967810">
        <w:rPr>
          <w:rFonts w:asciiTheme="minorHAnsi" w:hAnsiTheme="minorHAnsi"/>
        </w:rPr>
        <w:t>.</w:t>
      </w:r>
    </w:p>
    <w:p w:rsidR="00967810" w:rsidRPr="006214E1" w:rsidRDefault="00967810" w:rsidP="002A1729">
      <w:pPr>
        <w:numPr>
          <w:ilvl w:val="2"/>
          <w:numId w:val="12"/>
        </w:numPr>
        <w:rPr>
          <w:rFonts w:asciiTheme="minorHAnsi" w:hAnsiTheme="minorHAnsi"/>
        </w:rPr>
      </w:pPr>
      <w:r>
        <w:rPr>
          <w:rFonts w:asciiTheme="minorHAnsi" w:hAnsiTheme="minorHAnsi"/>
        </w:rPr>
        <w:t>State of Hawaii DOD General Conditions provided shall supersede DAGS General Conditions in specifications.</w:t>
      </w:r>
    </w:p>
    <w:p w:rsidR="00280256" w:rsidRPr="006214E1" w:rsidRDefault="00DC56D9" w:rsidP="00280256">
      <w:pPr>
        <w:numPr>
          <w:ilvl w:val="1"/>
          <w:numId w:val="12"/>
        </w:numPr>
        <w:rPr>
          <w:rFonts w:asciiTheme="minorHAnsi" w:hAnsiTheme="minorHAnsi"/>
        </w:rPr>
      </w:pPr>
      <w:r w:rsidRPr="006214E1">
        <w:rPr>
          <w:rFonts w:asciiTheme="minorHAnsi" w:hAnsiTheme="minorHAnsi"/>
        </w:rPr>
        <w:t>Equipment and material specified by catalog numbers and names: In case of obsolescence, supersede, or error in identification, the intent implied by the description, application, required performance and the features of competitive brand</w:t>
      </w:r>
      <w:r w:rsidR="00967810">
        <w:rPr>
          <w:rFonts w:asciiTheme="minorHAnsi" w:hAnsiTheme="minorHAnsi"/>
        </w:rPr>
        <w:t xml:space="preserve">s. </w:t>
      </w:r>
      <w:r w:rsidR="00B23D71">
        <w:rPr>
          <w:rFonts w:asciiTheme="minorHAnsi" w:hAnsiTheme="minorHAnsi"/>
        </w:rPr>
        <w:t>Models and brands listed are for reference only. All substitute equip</w:t>
      </w:r>
      <w:bookmarkStart w:id="0" w:name="_GoBack"/>
      <w:bookmarkEnd w:id="0"/>
      <w:r w:rsidR="00B23D71">
        <w:rPr>
          <w:rFonts w:asciiTheme="minorHAnsi" w:hAnsiTheme="minorHAnsi"/>
        </w:rPr>
        <w:t>ment and material must be equal or better tha</w:t>
      </w:r>
      <w:r w:rsidR="001D039B">
        <w:rPr>
          <w:rFonts w:asciiTheme="minorHAnsi" w:hAnsiTheme="minorHAnsi"/>
        </w:rPr>
        <w:t>n</w:t>
      </w:r>
      <w:r w:rsidR="00B23D71">
        <w:rPr>
          <w:rFonts w:asciiTheme="minorHAnsi" w:hAnsiTheme="minorHAnsi"/>
        </w:rPr>
        <w:t xml:space="preserve"> specified models and brands listed.</w:t>
      </w:r>
    </w:p>
    <w:p w:rsidR="00DC56D9" w:rsidRPr="006214E1" w:rsidRDefault="00DC56D9" w:rsidP="00280256">
      <w:pPr>
        <w:numPr>
          <w:ilvl w:val="1"/>
          <w:numId w:val="12"/>
        </w:numPr>
        <w:rPr>
          <w:rFonts w:asciiTheme="minorHAnsi" w:hAnsiTheme="minorHAnsi"/>
        </w:rPr>
      </w:pPr>
      <w:r w:rsidRPr="006214E1">
        <w:rPr>
          <w:rFonts w:asciiTheme="minorHAnsi" w:hAnsiTheme="minorHAnsi"/>
        </w:rPr>
        <w:t>All equipment and materials shall be suitable for intended location and use and include all accessories for proper installation and operation.</w:t>
      </w:r>
    </w:p>
    <w:p w:rsidR="00417E2D" w:rsidRPr="0053316C" w:rsidRDefault="00DC269B" w:rsidP="006214E1">
      <w:pPr>
        <w:ind w:left="720"/>
        <w:rPr>
          <w:rFonts w:asciiTheme="minorHAnsi" w:hAnsiTheme="minorHAnsi"/>
        </w:rPr>
      </w:pPr>
      <w:r w:rsidRPr="0053316C">
        <w:rPr>
          <w:rFonts w:asciiTheme="minorHAnsi" w:hAnsiTheme="minorHAnsi"/>
        </w:rPr>
        <w:t>SBA Criteria</w:t>
      </w:r>
    </w:p>
    <w:p w:rsidR="00417E2D" w:rsidRDefault="00417E2D" w:rsidP="00FF460F">
      <w:pPr>
        <w:pStyle w:val="ListParagraph"/>
        <w:numPr>
          <w:ilvl w:val="0"/>
          <w:numId w:val="14"/>
        </w:numPr>
        <w:rPr>
          <w:rFonts w:asciiTheme="minorHAnsi" w:hAnsiTheme="minorHAnsi"/>
        </w:rPr>
      </w:pPr>
      <w:r w:rsidRPr="006214E1">
        <w:rPr>
          <w:rFonts w:asciiTheme="minorHAnsi" w:hAnsiTheme="minorHAnsi"/>
        </w:rPr>
        <w:t>Prime and/or sub-contractor must be listed as a Hawaii Solar Energy Association (HSEA) member. To inc</w:t>
      </w:r>
      <w:r w:rsidR="001B5216">
        <w:rPr>
          <w:rFonts w:asciiTheme="minorHAnsi" w:hAnsiTheme="minorHAnsi"/>
        </w:rPr>
        <w:t>lude: State of Hawaii C-13, C-60 and C-61</w:t>
      </w:r>
      <w:r w:rsidRPr="006214E1">
        <w:rPr>
          <w:rFonts w:asciiTheme="minorHAnsi" w:hAnsiTheme="minorHAnsi"/>
        </w:rPr>
        <w:t xml:space="preserve"> specialty licenses, </w:t>
      </w:r>
      <w:r w:rsidR="000E424D">
        <w:rPr>
          <w:rFonts w:asciiTheme="minorHAnsi" w:hAnsiTheme="minorHAnsi"/>
        </w:rPr>
        <w:t xml:space="preserve">(if applicable). </w:t>
      </w:r>
      <w:r w:rsidRPr="006214E1">
        <w:rPr>
          <w:rFonts w:asciiTheme="minorHAnsi" w:hAnsiTheme="minorHAnsi"/>
        </w:rPr>
        <w:t>Favorable reputation with City and County, BBB and DCCA License board rating.</w:t>
      </w:r>
    </w:p>
    <w:p w:rsidR="00FB0301" w:rsidRPr="006214E1" w:rsidRDefault="00FB0301" w:rsidP="00FB0301">
      <w:pPr>
        <w:pStyle w:val="ListParagraph"/>
        <w:ind w:left="1800"/>
        <w:rPr>
          <w:rFonts w:asciiTheme="minorHAnsi" w:hAnsiTheme="minorHAnsi"/>
        </w:rPr>
      </w:pPr>
    </w:p>
    <w:p w:rsidR="00FB0301" w:rsidRPr="00FB0301" w:rsidRDefault="00FB0301" w:rsidP="00FB0301">
      <w:pPr>
        <w:pStyle w:val="ListParagraph"/>
        <w:numPr>
          <w:ilvl w:val="0"/>
          <w:numId w:val="12"/>
        </w:numPr>
        <w:rPr>
          <w:rFonts w:asciiTheme="minorHAnsi" w:hAnsiTheme="minorHAnsi"/>
          <w:u w:val="single"/>
        </w:rPr>
      </w:pPr>
      <w:r w:rsidRPr="00FB0301">
        <w:rPr>
          <w:rFonts w:asciiTheme="minorHAnsi" w:hAnsiTheme="minorHAnsi"/>
          <w:u w:val="single"/>
        </w:rPr>
        <w:t>SUBMITTALS</w:t>
      </w:r>
    </w:p>
    <w:p w:rsidR="00FB0301" w:rsidRPr="00FB0301" w:rsidRDefault="00FB0301" w:rsidP="00FB0301">
      <w:pPr>
        <w:ind w:left="720"/>
        <w:rPr>
          <w:rFonts w:asciiTheme="minorHAnsi" w:hAnsiTheme="minorHAnsi"/>
        </w:rPr>
      </w:pPr>
      <w:r w:rsidRPr="00FB0301">
        <w:rPr>
          <w:rFonts w:asciiTheme="minorHAnsi" w:hAnsiTheme="minorHAnsi"/>
        </w:rPr>
        <w:t>Provide any shop drawings required to show the general layout of the systems involved and to clearly show the extent, type and detailed requirements of the construction work.  In addition, provide specific, project-unique details to fully define the work.  Drawings shall include but not be limited to:</w:t>
      </w:r>
    </w:p>
    <w:p w:rsidR="00FB0301" w:rsidRPr="00FB0301" w:rsidRDefault="00FB0301" w:rsidP="00FB0301">
      <w:pPr>
        <w:ind w:left="720"/>
        <w:rPr>
          <w:rFonts w:asciiTheme="minorHAnsi" w:hAnsiTheme="minorHAnsi"/>
        </w:rPr>
      </w:pPr>
      <w:r w:rsidRPr="00FB0301">
        <w:rPr>
          <w:rFonts w:asciiTheme="minorHAnsi" w:hAnsiTheme="minorHAnsi"/>
        </w:rPr>
        <w:t>a.</w:t>
      </w:r>
      <w:r w:rsidRPr="00FB0301">
        <w:rPr>
          <w:rFonts w:asciiTheme="minorHAnsi" w:hAnsiTheme="minorHAnsi"/>
        </w:rPr>
        <w:tab/>
        <w:t>Schedules as required</w:t>
      </w:r>
    </w:p>
    <w:p w:rsidR="00FB0301" w:rsidRPr="00FB0301" w:rsidRDefault="00FB0301" w:rsidP="00FB0301">
      <w:pPr>
        <w:ind w:left="720"/>
        <w:rPr>
          <w:rFonts w:asciiTheme="minorHAnsi" w:hAnsiTheme="minorHAnsi"/>
        </w:rPr>
      </w:pPr>
      <w:r w:rsidRPr="00FB0301">
        <w:rPr>
          <w:rFonts w:asciiTheme="minorHAnsi" w:hAnsiTheme="minorHAnsi"/>
        </w:rPr>
        <w:t>b.</w:t>
      </w:r>
      <w:r w:rsidRPr="00FB0301">
        <w:rPr>
          <w:rFonts w:asciiTheme="minorHAnsi" w:hAnsiTheme="minorHAnsi"/>
        </w:rPr>
        <w:tab/>
        <w:t>Typical sections</w:t>
      </w:r>
    </w:p>
    <w:p w:rsidR="00FB0301" w:rsidRPr="00FB0301" w:rsidRDefault="00FB0301" w:rsidP="00FB0301">
      <w:pPr>
        <w:ind w:left="720"/>
        <w:rPr>
          <w:rFonts w:asciiTheme="minorHAnsi" w:hAnsiTheme="minorHAnsi"/>
        </w:rPr>
      </w:pPr>
      <w:r w:rsidRPr="00FB0301">
        <w:rPr>
          <w:rFonts w:asciiTheme="minorHAnsi" w:hAnsiTheme="minorHAnsi"/>
        </w:rPr>
        <w:t>c.</w:t>
      </w:r>
      <w:r w:rsidRPr="00FB0301">
        <w:rPr>
          <w:rFonts w:asciiTheme="minorHAnsi" w:hAnsiTheme="minorHAnsi"/>
        </w:rPr>
        <w:tab/>
        <w:t>Construction details</w:t>
      </w:r>
    </w:p>
    <w:p w:rsidR="00417E2D" w:rsidRDefault="00FB0301" w:rsidP="00FB0301">
      <w:pPr>
        <w:ind w:left="720"/>
        <w:rPr>
          <w:rFonts w:asciiTheme="minorHAnsi" w:hAnsiTheme="minorHAnsi"/>
        </w:rPr>
      </w:pPr>
      <w:r w:rsidRPr="00FB0301">
        <w:rPr>
          <w:rFonts w:asciiTheme="minorHAnsi" w:hAnsiTheme="minorHAnsi"/>
        </w:rPr>
        <w:t>d.</w:t>
      </w:r>
      <w:r w:rsidRPr="00FB0301">
        <w:rPr>
          <w:rFonts w:asciiTheme="minorHAnsi" w:hAnsiTheme="minorHAnsi"/>
        </w:rPr>
        <w:tab/>
        <w:t>Latest manufacturer’s installation instructions</w:t>
      </w:r>
    </w:p>
    <w:p w:rsidR="00FB0301" w:rsidRPr="006214E1" w:rsidRDefault="00FB0301" w:rsidP="00FB0301">
      <w:pPr>
        <w:ind w:left="720"/>
        <w:rPr>
          <w:rFonts w:asciiTheme="minorHAnsi" w:hAnsiTheme="minorHAnsi"/>
        </w:rPr>
      </w:pPr>
    </w:p>
    <w:p w:rsidR="00DC269B" w:rsidRPr="0053316C" w:rsidRDefault="00DC269B" w:rsidP="00DC269B">
      <w:pPr>
        <w:pStyle w:val="ListParagraph"/>
        <w:numPr>
          <w:ilvl w:val="0"/>
          <w:numId w:val="12"/>
        </w:numPr>
        <w:autoSpaceDE w:val="0"/>
        <w:autoSpaceDN w:val="0"/>
        <w:adjustRightInd w:val="0"/>
        <w:rPr>
          <w:rFonts w:asciiTheme="minorHAnsi" w:hAnsiTheme="minorHAnsi"/>
          <w:u w:val="single"/>
        </w:rPr>
      </w:pPr>
      <w:r w:rsidRPr="0053316C">
        <w:rPr>
          <w:rFonts w:asciiTheme="minorHAnsi" w:hAnsiTheme="minorHAnsi"/>
          <w:u w:val="single"/>
        </w:rPr>
        <w:t>SOLID WASTE</w:t>
      </w:r>
    </w:p>
    <w:p w:rsidR="00DC56D9" w:rsidRPr="006214E1" w:rsidRDefault="00DC56D9" w:rsidP="00DC269B">
      <w:pPr>
        <w:pStyle w:val="ListParagraph"/>
        <w:numPr>
          <w:ilvl w:val="1"/>
          <w:numId w:val="12"/>
        </w:numPr>
        <w:autoSpaceDE w:val="0"/>
        <w:autoSpaceDN w:val="0"/>
        <w:adjustRightInd w:val="0"/>
        <w:rPr>
          <w:rFonts w:asciiTheme="minorHAnsi" w:hAnsiTheme="minorHAnsi"/>
        </w:rPr>
      </w:pPr>
      <w:r w:rsidRPr="006214E1">
        <w:rPr>
          <w:rFonts w:asciiTheme="minorHAnsi" w:hAnsiTheme="minorHAnsi"/>
        </w:rPr>
        <w:t>Submit solid waste report for all demolition material. Report to reflect tonnage of recycled, debris and/or disposal of demolition material.</w:t>
      </w:r>
      <w:r w:rsidR="0053316C">
        <w:rPr>
          <w:rFonts w:asciiTheme="minorHAnsi" w:hAnsiTheme="minorHAnsi"/>
        </w:rPr>
        <w:t xml:space="preserve"> Waste Collection log .</w:t>
      </w:r>
      <w:proofErr w:type="spellStart"/>
      <w:r w:rsidR="0053316C">
        <w:rPr>
          <w:rFonts w:asciiTheme="minorHAnsi" w:hAnsiTheme="minorHAnsi"/>
        </w:rPr>
        <w:t>xlsx</w:t>
      </w:r>
      <w:proofErr w:type="spellEnd"/>
      <w:r w:rsidR="0053316C">
        <w:rPr>
          <w:rFonts w:asciiTheme="minorHAnsi" w:hAnsiTheme="minorHAnsi"/>
        </w:rPr>
        <w:t xml:space="preserve"> to be provided.</w:t>
      </w:r>
    </w:p>
    <w:p w:rsidR="0053316C" w:rsidRPr="0053316C" w:rsidRDefault="0053316C" w:rsidP="0053316C">
      <w:pPr>
        <w:rPr>
          <w:rFonts w:asciiTheme="minorHAnsi" w:hAnsiTheme="minorHAnsi"/>
        </w:rPr>
      </w:pPr>
    </w:p>
    <w:p w:rsidR="0053316C" w:rsidRPr="0053316C" w:rsidRDefault="0053316C" w:rsidP="0053316C">
      <w:pPr>
        <w:pStyle w:val="ListParagraph"/>
        <w:numPr>
          <w:ilvl w:val="0"/>
          <w:numId w:val="12"/>
        </w:numPr>
        <w:rPr>
          <w:rFonts w:asciiTheme="minorHAnsi" w:hAnsiTheme="minorHAnsi"/>
          <w:u w:val="single"/>
        </w:rPr>
      </w:pPr>
      <w:r w:rsidRPr="0053316C">
        <w:rPr>
          <w:rFonts w:asciiTheme="minorHAnsi" w:hAnsiTheme="minorHAnsi"/>
          <w:u w:val="single"/>
        </w:rPr>
        <w:t>HIARNG ENVIRONMENTAL CONTRACTOR REQUIREMENTS</w:t>
      </w:r>
    </w:p>
    <w:p w:rsidR="0053316C" w:rsidRDefault="0053316C" w:rsidP="001D039B">
      <w:pPr>
        <w:ind w:left="720"/>
        <w:rPr>
          <w:rFonts w:asciiTheme="minorHAnsi" w:hAnsiTheme="minorHAnsi"/>
        </w:rPr>
      </w:pPr>
      <w:r w:rsidRPr="0053316C">
        <w:rPr>
          <w:rFonts w:asciiTheme="minorHAnsi" w:hAnsiTheme="minorHAnsi"/>
        </w:rPr>
        <w:tab/>
        <w:t>In order to facilitate Emergency Planning and Community Right-to-Know Act (EPCRA) reporting requirements, prior to project start and within 30 days of completion of the project, contractor shall submit to HIARNG-ENV a Hazardous Material Inventory Log of chemical products to be used in the project, and provide an update no later than 31 January of each calendar year.  The log shall include the product name and manufacturer ID number, container size, amount used, and maximum number of containers to be stored on site at any given day during the project.   HIARNG-ENV may waive this requirement based upon contractor request. (Sample inventory log attached).  Safety Data Sheets (SDSs) shall be provided or made available to the government COR/project manager and HIARNG-ENV upon request.</w:t>
      </w:r>
    </w:p>
    <w:p w:rsidR="00262DE7" w:rsidRPr="0053316C" w:rsidRDefault="00262DE7" w:rsidP="0053316C">
      <w:pPr>
        <w:rPr>
          <w:rFonts w:asciiTheme="minorHAnsi" w:hAnsiTheme="minorHAnsi"/>
        </w:rPr>
      </w:pPr>
    </w:p>
    <w:p w:rsidR="0053316C" w:rsidRDefault="0053316C" w:rsidP="001D039B">
      <w:pPr>
        <w:ind w:left="720"/>
        <w:rPr>
          <w:rFonts w:asciiTheme="minorHAnsi" w:hAnsiTheme="minorHAnsi"/>
        </w:rPr>
      </w:pPr>
      <w:r w:rsidRPr="0053316C">
        <w:rPr>
          <w:rFonts w:asciiTheme="minorHAnsi" w:hAnsiTheme="minorHAnsi"/>
        </w:rPr>
        <w:tab/>
        <w:t>Prior to project start, Contractor will provide to HIARNG-ENV and the COR/project manager an estimate of the maximum amount of hazardous waste, universal waste, and other regulated waste (e.g., asbestos, lead paint chips, fluorescent lamps, PCB ballasts) expected to be generated per month, and the total amount anticipated to be stored on-site at any given time.  All waste will be stored in a secured area pending removal for disposal, with signage indicating contact information, and shall be managed in accordance with all applicable federal, state, and local regulations.  Monthly waste generation reports shall be provided to HIARNG-ENV and the COR/project manager by the 5th of the month after the end of the month being reported.  The reports shall indicate the type of waste and the number of pounds of each type generated in each container each month. (Sample container waste collection log and waste generation report attached).</w:t>
      </w:r>
    </w:p>
    <w:p w:rsidR="00262DE7" w:rsidRPr="0053316C" w:rsidRDefault="00262DE7" w:rsidP="0053316C">
      <w:pPr>
        <w:rPr>
          <w:rFonts w:asciiTheme="minorHAnsi" w:hAnsiTheme="minorHAnsi"/>
        </w:rPr>
      </w:pPr>
    </w:p>
    <w:p w:rsidR="0053316C" w:rsidRDefault="0053316C" w:rsidP="001D039B">
      <w:pPr>
        <w:ind w:left="720"/>
        <w:rPr>
          <w:rFonts w:asciiTheme="minorHAnsi" w:hAnsiTheme="minorHAnsi"/>
        </w:rPr>
      </w:pPr>
      <w:r w:rsidRPr="0053316C">
        <w:rPr>
          <w:rFonts w:asciiTheme="minorHAnsi" w:hAnsiTheme="minorHAnsi"/>
        </w:rPr>
        <w:tab/>
        <w:t>Contractor shall be responsible for all costs for disposal of waste generated from this project and shall provide copies of all waste disposal documentation (including any required lab analyses, waste profiles, and any other supporting documentation) to the HIARNG-ENV and the COR/project manager, along with draft copies of the waste manifests for review prior to waste shipment off-site for disposal.  The applicable HIARNG EPA ID Number shall be used on waste manifests, and manifests will only be signed by individuals authorized by HIARNG-ENV.</w:t>
      </w:r>
    </w:p>
    <w:p w:rsidR="001D039B" w:rsidRPr="0053316C" w:rsidRDefault="001D039B" w:rsidP="001D039B">
      <w:pPr>
        <w:ind w:left="720"/>
        <w:rPr>
          <w:rFonts w:asciiTheme="minorHAnsi" w:hAnsiTheme="minorHAnsi"/>
        </w:rPr>
      </w:pPr>
    </w:p>
    <w:p w:rsidR="0053316C" w:rsidRDefault="0053316C" w:rsidP="001D039B">
      <w:pPr>
        <w:ind w:left="720"/>
        <w:rPr>
          <w:rFonts w:asciiTheme="minorHAnsi" w:hAnsiTheme="minorHAnsi"/>
        </w:rPr>
      </w:pPr>
      <w:r w:rsidRPr="0053316C">
        <w:rPr>
          <w:rFonts w:asciiTheme="minorHAnsi" w:hAnsiTheme="minorHAnsi"/>
        </w:rPr>
        <w:tab/>
        <w:t xml:space="preserve">All construction sites are subject to the regulations of 40 CFR 112 Oil Pollution Prevention and are required to prepare a site specific Spill Prevention, Control and Countermeasure (SPCC) plan if storing more than 1320 gallons (G) of POL on site.  A copy of the SPCC plan must be submitted to </w:t>
      </w:r>
      <w:r w:rsidRPr="0053316C">
        <w:rPr>
          <w:rFonts w:asciiTheme="minorHAnsi" w:hAnsiTheme="minorHAnsi"/>
        </w:rPr>
        <w:lastRenderedPageBreak/>
        <w:t xml:space="preserve">HIARNG-ENV before start of the project and kept readily available on site.  If the site is storing less than 1320 G of POL no SPCC plan is required, however, the contractor shall implement the applicable HIARNG SPCC plan.  </w:t>
      </w:r>
    </w:p>
    <w:p w:rsidR="00262DE7" w:rsidRPr="0053316C" w:rsidRDefault="00262DE7" w:rsidP="0053316C">
      <w:pPr>
        <w:rPr>
          <w:rFonts w:asciiTheme="minorHAnsi" w:hAnsiTheme="minorHAnsi"/>
        </w:rPr>
      </w:pPr>
    </w:p>
    <w:p w:rsidR="0053316C" w:rsidRDefault="0053316C" w:rsidP="001D039B">
      <w:pPr>
        <w:ind w:left="720"/>
        <w:rPr>
          <w:rFonts w:asciiTheme="minorHAnsi" w:hAnsiTheme="minorHAnsi"/>
        </w:rPr>
      </w:pPr>
      <w:r w:rsidRPr="0053316C">
        <w:rPr>
          <w:rFonts w:asciiTheme="minorHAnsi" w:hAnsiTheme="minorHAnsi"/>
        </w:rPr>
        <w:tab/>
        <w:t xml:space="preserve">All projects that disturb more than 1 acre of soil are required to obtain an applicable National Pollutant Discharge Elimination System (NPDES) </w:t>
      </w:r>
      <w:proofErr w:type="spellStart"/>
      <w:r w:rsidRPr="0053316C">
        <w:rPr>
          <w:rFonts w:asciiTheme="minorHAnsi" w:hAnsiTheme="minorHAnsi"/>
        </w:rPr>
        <w:t>stormwater</w:t>
      </w:r>
      <w:proofErr w:type="spellEnd"/>
      <w:r w:rsidRPr="0053316C">
        <w:rPr>
          <w:rFonts w:asciiTheme="minorHAnsi" w:hAnsiTheme="minorHAnsi"/>
        </w:rPr>
        <w:t xml:space="preserve"> discharge permit from the Hawaii Department of Health (HDOH) and implement all permit requirements, plans, and inspections.  Sites less than 1 acre are required to implement best management practices (BMP’s) to prevent contaminated </w:t>
      </w:r>
      <w:proofErr w:type="spellStart"/>
      <w:r w:rsidRPr="0053316C">
        <w:rPr>
          <w:rFonts w:asciiTheme="minorHAnsi" w:hAnsiTheme="minorHAnsi"/>
        </w:rPr>
        <w:t>stormwater</w:t>
      </w:r>
      <w:proofErr w:type="spellEnd"/>
      <w:r w:rsidRPr="0053316C">
        <w:rPr>
          <w:rFonts w:asciiTheme="minorHAnsi" w:hAnsiTheme="minorHAnsi"/>
        </w:rPr>
        <w:t xml:space="preserve"> from leaving the site. </w:t>
      </w:r>
    </w:p>
    <w:p w:rsidR="00262DE7" w:rsidRPr="0053316C" w:rsidRDefault="00262DE7" w:rsidP="0053316C">
      <w:pPr>
        <w:rPr>
          <w:rFonts w:asciiTheme="minorHAnsi" w:hAnsiTheme="minorHAnsi"/>
        </w:rPr>
      </w:pPr>
    </w:p>
    <w:p w:rsidR="0053316C" w:rsidRDefault="0053316C" w:rsidP="001D039B">
      <w:pPr>
        <w:ind w:left="720"/>
        <w:rPr>
          <w:rFonts w:asciiTheme="minorHAnsi" w:hAnsiTheme="minorHAnsi"/>
        </w:rPr>
      </w:pPr>
      <w:r w:rsidRPr="0053316C">
        <w:rPr>
          <w:rFonts w:asciiTheme="minorHAnsi" w:hAnsiTheme="minorHAnsi"/>
        </w:rPr>
        <w:tab/>
        <w:t>Contractors shall be responsible for obtaining the following permits as applicable: underground injection control well (UIC), oil water separator, grease trap, and individual waste water system.  The ENV office shall be copied on all permit correspondence, and shall be provided the original copy of all permits.</w:t>
      </w:r>
    </w:p>
    <w:p w:rsidR="00262DE7" w:rsidRPr="0053316C" w:rsidRDefault="00262DE7" w:rsidP="001D039B">
      <w:pPr>
        <w:ind w:left="720"/>
        <w:rPr>
          <w:rFonts w:asciiTheme="minorHAnsi" w:hAnsiTheme="minorHAnsi"/>
        </w:rPr>
      </w:pPr>
    </w:p>
    <w:p w:rsidR="0053316C" w:rsidRPr="0053316C" w:rsidRDefault="0053316C" w:rsidP="001D039B">
      <w:pPr>
        <w:ind w:left="720"/>
        <w:rPr>
          <w:rFonts w:asciiTheme="minorHAnsi" w:hAnsiTheme="minorHAnsi"/>
        </w:rPr>
      </w:pPr>
      <w:r w:rsidRPr="0053316C">
        <w:rPr>
          <w:rFonts w:asciiTheme="minorHAnsi" w:hAnsiTheme="minorHAnsi"/>
        </w:rPr>
        <w:tab/>
        <w:t xml:space="preserve">Contractor shall post emergency contact sign indicating the name and phone number for the  government COR/project manager, the contractor emergency contact, police/fire department 911, and HIARNG ENV 672-1013.  (Sample sign attached).   Contractor shall report spills immediately to the COR and HIARNG-ENV and complete the HIARNG Spill Incident Report Form as required.  Contractor shall immediately clean up all spills IAW federal and state guidelines and to the satisfaction of HIARNG-ENV.  Contractor shall maintain adequate spill supplies commensurate with the potential for spills, and will contract out spill cleanup beyond their capabilities.  Contractor shall accomplish all regulatory verbal and written notifications to the State Emergency Response Commission, Local Emergency Planning Committee (LEPC), National Response Center (NRC), Environmental Protection Agency (EPA), as applicable, and provide HIARNG-ENV copies of all spill reports submitted.  </w:t>
      </w:r>
    </w:p>
    <w:p w:rsidR="0053316C" w:rsidRPr="0053316C" w:rsidRDefault="0053316C" w:rsidP="001D039B">
      <w:pPr>
        <w:ind w:left="720"/>
        <w:rPr>
          <w:rFonts w:asciiTheme="minorHAnsi" w:hAnsiTheme="minorHAnsi"/>
        </w:rPr>
      </w:pPr>
      <w:r w:rsidRPr="0053316C">
        <w:rPr>
          <w:rFonts w:asciiTheme="minorHAnsi" w:hAnsiTheme="minorHAnsi"/>
        </w:rPr>
        <w:tab/>
      </w:r>
    </w:p>
    <w:p w:rsidR="0053316C" w:rsidRPr="0053316C" w:rsidRDefault="0053316C" w:rsidP="0053316C">
      <w:pPr>
        <w:rPr>
          <w:rFonts w:asciiTheme="minorHAnsi" w:hAnsiTheme="minorHAnsi"/>
        </w:rPr>
      </w:pPr>
      <w:r w:rsidRPr="0053316C">
        <w:rPr>
          <w:rFonts w:asciiTheme="minorHAnsi" w:hAnsiTheme="minorHAnsi"/>
        </w:rPr>
        <w:tab/>
      </w:r>
    </w:p>
    <w:p w:rsidR="0053316C" w:rsidRPr="006214E1" w:rsidRDefault="0053316C" w:rsidP="00DC269B">
      <w:pPr>
        <w:rPr>
          <w:rFonts w:asciiTheme="minorHAnsi" w:hAnsiTheme="minorHAnsi"/>
        </w:rPr>
      </w:pPr>
    </w:p>
    <w:sectPr w:rsidR="0053316C" w:rsidRPr="006214E1" w:rsidSect="006F5CB5">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FEF" w:rsidRDefault="00AD4FEF" w:rsidP="006C3B9E">
      <w:r>
        <w:separator/>
      </w:r>
    </w:p>
  </w:endnote>
  <w:endnote w:type="continuationSeparator" w:id="0">
    <w:p w:rsidR="00AD4FEF" w:rsidRDefault="00AD4FEF" w:rsidP="006C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DE" w:rsidRDefault="00575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821" w:rsidRPr="00575BDE" w:rsidRDefault="009E75E8" w:rsidP="003E5821">
    <w:pPr>
      <w:rPr>
        <w:rFonts w:ascii="Arial" w:hAnsi="Arial" w:cs="Arial"/>
      </w:rPr>
    </w:pPr>
    <w:r w:rsidRPr="00575BDE">
      <w:rPr>
        <w:rFonts w:ascii="Arial" w:hAnsi="Arial" w:cs="Arial"/>
        <w:sz w:val="16"/>
        <w:szCs w:val="16"/>
      </w:rPr>
      <w:t>Building 300</w:t>
    </w:r>
    <w:r w:rsidR="004C612B" w:rsidRPr="00575BDE">
      <w:rPr>
        <w:rFonts w:ascii="Arial" w:hAnsi="Arial" w:cs="Arial"/>
        <w:sz w:val="16"/>
        <w:szCs w:val="16"/>
      </w:rPr>
      <w:t xml:space="preserve"> Solar Renewable Energy System</w:t>
    </w:r>
  </w:p>
  <w:p w:rsidR="006C3B9E" w:rsidRPr="00575BDE" w:rsidRDefault="009E75E8">
    <w:pPr>
      <w:pStyle w:val="Footer"/>
      <w:rPr>
        <w:rFonts w:ascii="Arial" w:hAnsi="Arial" w:cs="Arial"/>
        <w:sz w:val="16"/>
        <w:szCs w:val="16"/>
      </w:rPr>
    </w:pPr>
    <w:r w:rsidRPr="00575BDE">
      <w:rPr>
        <w:rFonts w:ascii="Arial" w:hAnsi="Arial" w:cs="Arial"/>
        <w:sz w:val="16"/>
        <w:szCs w:val="16"/>
      </w:rPr>
      <w:t>PN15110005</w:t>
    </w:r>
  </w:p>
  <w:p w:rsidR="004C612B" w:rsidRPr="00575BDE" w:rsidRDefault="009E75E8">
    <w:pPr>
      <w:pStyle w:val="Footer"/>
      <w:rPr>
        <w:rFonts w:ascii="Arial" w:hAnsi="Arial" w:cs="Arial"/>
        <w:sz w:val="16"/>
        <w:szCs w:val="16"/>
      </w:rPr>
    </w:pPr>
    <w:r w:rsidRPr="00575BDE">
      <w:rPr>
        <w:rFonts w:ascii="Arial" w:hAnsi="Arial" w:cs="Arial"/>
        <w:sz w:val="16"/>
        <w:szCs w:val="16"/>
      </w:rPr>
      <w:t>CA-1105</w:t>
    </w:r>
    <w:r w:rsidR="004C612B" w:rsidRPr="00575BDE">
      <w:rPr>
        <w:rFonts w:ascii="Arial" w:hAnsi="Arial" w:cs="Arial"/>
        <w:sz w:val="16"/>
        <w:szCs w:val="16"/>
      </w:rPr>
      <w:t>-C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DE" w:rsidRDefault="00575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FEF" w:rsidRDefault="00AD4FEF" w:rsidP="006C3B9E">
      <w:r>
        <w:separator/>
      </w:r>
    </w:p>
  </w:footnote>
  <w:footnote w:type="continuationSeparator" w:id="0">
    <w:p w:rsidR="00AD4FEF" w:rsidRDefault="00AD4FEF" w:rsidP="006C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DE" w:rsidRDefault="00575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DE" w:rsidRDefault="00575B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DE" w:rsidRDefault="00575B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F49"/>
    <w:multiLevelType w:val="hybridMultilevel"/>
    <w:tmpl w:val="5A44685E"/>
    <w:lvl w:ilvl="0" w:tplc="6448A1B6">
      <w:start w:val="2"/>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A8495F"/>
    <w:multiLevelType w:val="hybridMultilevel"/>
    <w:tmpl w:val="9F80601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E536F8D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BF649D"/>
    <w:multiLevelType w:val="hybridMultilevel"/>
    <w:tmpl w:val="C0006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45F7"/>
    <w:multiLevelType w:val="hybridMultilevel"/>
    <w:tmpl w:val="7DAED99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73F4F89"/>
    <w:multiLevelType w:val="hybridMultilevel"/>
    <w:tmpl w:val="F77010F4"/>
    <w:lvl w:ilvl="0" w:tplc="0409000F">
      <w:start w:val="1"/>
      <w:numFmt w:val="decimal"/>
      <w:lvlText w:val="%1."/>
      <w:lvlJc w:val="left"/>
      <w:pPr>
        <w:tabs>
          <w:tab w:val="num" w:pos="720"/>
        </w:tabs>
        <w:ind w:left="720" w:hanging="360"/>
      </w:pPr>
      <w:rPr>
        <w:rFonts w:hint="default"/>
      </w:rPr>
    </w:lvl>
    <w:lvl w:ilvl="1" w:tplc="D5F6DED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AD64C5"/>
    <w:multiLevelType w:val="hybridMultilevel"/>
    <w:tmpl w:val="15280F10"/>
    <w:lvl w:ilvl="0" w:tplc="4F70F48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336BC0"/>
    <w:multiLevelType w:val="hybridMultilevel"/>
    <w:tmpl w:val="6DF24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7817AF"/>
    <w:multiLevelType w:val="hybridMultilevel"/>
    <w:tmpl w:val="C1A4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D86A30"/>
    <w:multiLevelType w:val="hybridMultilevel"/>
    <w:tmpl w:val="E3DC06BA"/>
    <w:lvl w:ilvl="0" w:tplc="7F14942C">
      <w:start w:val="1"/>
      <w:numFmt w:val="decimal"/>
      <w:lvlText w:val="%1)"/>
      <w:lvlJc w:val="left"/>
      <w:pPr>
        <w:ind w:left="1080" w:hanging="360"/>
      </w:pPr>
      <w:rPr>
        <w:rFonts w:hint="default"/>
      </w:rPr>
    </w:lvl>
    <w:lvl w:ilvl="1" w:tplc="90266F30">
      <w:start w:val="1"/>
      <w:numFmt w:val="decimal"/>
      <w:lvlText w:val="%2."/>
      <w:lvlJc w:val="left"/>
      <w:pPr>
        <w:ind w:left="1800" w:hanging="360"/>
      </w:pPr>
      <w:rPr>
        <w:rFonts w:ascii="Times New Roman" w:eastAsia="Times New Roman" w:hAnsi="Times New Roman" w:cs="Times New Roman"/>
      </w:rPr>
    </w:lvl>
    <w:lvl w:ilvl="2" w:tplc="4C70B8FE">
      <w:start w:val="1"/>
      <w:numFmt w:val="lowerLetter"/>
      <w:lvlText w:val="%3)"/>
      <w:lvlJc w:val="left"/>
      <w:pPr>
        <w:ind w:left="2700" w:hanging="360"/>
      </w:pPr>
      <w:rPr>
        <w:rFonts w:hint="default"/>
      </w:rPr>
    </w:lvl>
    <w:lvl w:ilvl="3" w:tplc="ACA48CC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731769"/>
    <w:multiLevelType w:val="hybridMultilevel"/>
    <w:tmpl w:val="B3EE5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AD23E0C">
      <w:start w:val="1"/>
      <w:numFmt w:val="lowerRoman"/>
      <w:lvlText w:val="%3."/>
      <w:lvlJc w:val="left"/>
      <w:pPr>
        <w:ind w:left="2700" w:hanging="720"/>
      </w:pPr>
      <w:rPr>
        <w:rFonts w:asciiTheme="minorHAnsi" w:eastAsia="Times New Roman" w:hAnsiTheme="minorHAns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4E50F3"/>
    <w:multiLevelType w:val="hybridMultilevel"/>
    <w:tmpl w:val="93966C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EB4C0F"/>
    <w:multiLevelType w:val="hybridMultilevel"/>
    <w:tmpl w:val="4E581BF4"/>
    <w:lvl w:ilvl="0" w:tplc="5378A8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7303A"/>
    <w:multiLevelType w:val="hybridMultilevel"/>
    <w:tmpl w:val="B5922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0A4819"/>
    <w:multiLevelType w:val="hybridMultilevel"/>
    <w:tmpl w:val="CD5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4"/>
  </w:num>
  <w:num w:numId="5">
    <w:abstractNumId w:val="5"/>
  </w:num>
  <w:num w:numId="6">
    <w:abstractNumId w:val="6"/>
  </w:num>
  <w:num w:numId="7">
    <w:abstractNumId w:val="1"/>
  </w:num>
  <w:num w:numId="8">
    <w:abstractNumId w:val="8"/>
  </w:num>
  <w:num w:numId="9">
    <w:abstractNumId w:val="12"/>
  </w:num>
  <w:num w:numId="10">
    <w:abstractNumId w:val="13"/>
  </w:num>
  <w:num w:numId="11">
    <w:abstractNumId w:val="7"/>
  </w:num>
  <w:num w:numId="12">
    <w:abstractNumId w:val="9"/>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80872"/>
    <w:rsid w:val="00013AEC"/>
    <w:rsid w:val="00035AFC"/>
    <w:rsid w:val="0008643E"/>
    <w:rsid w:val="000969FA"/>
    <w:rsid w:val="000A24D5"/>
    <w:rsid w:val="000C1778"/>
    <w:rsid w:val="000D6F29"/>
    <w:rsid w:val="000E424D"/>
    <w:rsid w:val="000F0E75"/>
    <w:rsid w:val="000F61B3"/>
    <w:rsid w:val="000F6B25"/>
    <w:rsid w:val="0010554F"/>
    <w:rsid w:val="00124EB6"/>
    <w:rsid w:val="00126D3C"/>
    <w:rsid w:val="00166D33"/>
    <w:rsid w:val="0019259C"/>
    <w:rsid w:val="001A136D"/>
    <w:rsid w:val="001A5F76"/>
    <w:rsid w:val="001B5216"/>
    <w:rsid w:val="001D039B"/>
    <w:rsid w:val="001D2E2C"/>
    <w:rsid w:val="001D7478"/>
    <w:rsid w:val="001F316D"/>
    <w:rsid w:val="00202EF6"/>
    <w:rsid w:val="00223EEF"/>
    <w:rsid w:val="00257FBE"/>
    <w:rsid w:val="00262DE7"/>
    <w:rsid w:val="002635D1"/>
    <w:rsid w:val="00280256"/>
    <w:rsid w:val="002A1729"/>
    <w:rsid w:val="002E1100"/>
    <w:rsid w:val="00356121"/>
    <w:rsid w:val="0038225C"/>
    <w:rsid w:val="003A0C2A"/>
    <w:rsid w:val="003A4753"/>
    <w:rsid w:val="003B280B"/>
    <w:rsid w:val="003E2BAC"/>
    <w:rsid w:val="003E5821"/>
    <w:rsid w:val="00401C2C"/>
    <w:rsid w:val="0041392E"/>
    <w:rsid w:val="004164AF"/>
    <w:rsid w:val="00417E2D"/>
    <w:rsid w:val="00465B98"/>
    <w:rsid w:val="0049779E"/>
    <w:rsid w:val="004A7F8D"/>
    <w:rsid w:val="004B27DA"/>
    <w:rsid w:val="004C612B"/>
    <w:rsid w:val="004F0D9F"/>
    <w:rsid w:val="004F3153"/>
    <w:rsid w:val="0053316C"/>
    <w:rsid w:val="005544B6"/>
    <w:rsid w:val="00557D25"/>
    <w:rsid w:val="0057026A"/>
    <w:rsid w:val="00575BDE"/>
    <w:rsid w:val="005E5486"/>
    <w:rsid w:val="00602FC9"/>
    <w:rsid w:val="006214E1"/>
    <w:rsid w:val="00672092"/>
    <w:rsid w:val="00694435"/>
    <w:rsid w:val="006A2210"/>
    <w:rsid w:val="006B6174"/>
    <w:rsid w:val="006C32AD"/>
    <w:rsid w:val="006C3B9E"/>
    <w:rsid w:val="006F1354"/>
    <w:rsid w:val="006F3D68"/>
    <w:rsid w:val="006F5CB5"/>
    <w:rsid w:val="007007C2"/>
    <w:rsid w:val="00700F86"/>
    <w:rsid w:val="00716AA8"/>
    <w:rsid w:val="007E76AC"/>
    <w:rsid w:val="007F1391"/>
    <w:rsid w:val="00813F09"/>
    <w:rsid w:val="00820761"/>
    <w:rsid w:val="00846E4B"/>
    <w:rsid w:val="00851B3C"/>
    <w:rsid w:val="00857E54"/>
    <w:rsid w:val="008758A5"/>
    <w:rsid w:val="00887B3B"/>
    <w:rsid w:val="00897AED"/>
    <w:rsid w:val="008A68B8"/>
    <w:rsid w:val="008C1127"/>
    <w:rsid w:val="008C67D8"/>
    <w:rsid w:val="008E6948"/>
    <w:rsid w:val="008F077B"/>
    <w:rsid w:val="008F1FC8"/>
    <w:rsid w:val="00967810"/>
    <w:rsid w:val="009A184B"/>
    <w:rsid w:val="009B12B6"/>
    <w:rsid w:val="009D6498"/>
    <w:rsid w:val="009E75E8"/>
    <w:rsid w:val="009F6615"/>
    <w:rsid w:val="00A11C6E"/>
    <w:rsid w:val="00A31C4E"/>
    <w:rsid w:val="00A402E5"/>
    <w:rsid w:val="00A5439C"/>
    <w:rsid w:val="00A60011"/>
    <w:rsid w:val="00A70564"/>
    <w:rsid w:val="00A778D0"/>
    <w:rsid w:val="00A82A67"/>
    <w:rsid w:val="00A92A88"/>
    <w:rsid w:val="00AB7367"/>
    <w:rsid w:val="00AC74E7"/>
    <w:rsid w:val="00AD4FEF"/>
    <w:rsid w:val="00B17A68"/>
    <w:rsid w:val="00B23D71"/>
    <w:rsid w:val="00B406F0"/>
    <w:rsid w:val="00B54169"/>
    <w:rsid w:val="00B57EA3"/>
    <w:rsid w:val="00B64684"/>
    <w:rsid w:val="00BA29E0"/>
    <w:rsid w:val="00BC4C3D"/>
    <w:rsid w:val="00BD61FB"/>
    <w:rsid w:val="00BD6F6D"/>
    <w:rsid w:val="00BE53A0"/>
    <w:rsid w:val="00C00D1B"/>
    <w:rsid w:val="00C0260C"/>
    <w:rsid w:val="00C14193"/>
    <w:rsid w:val="00C1530F"/>
    <w:rsid w:val="00C17184"/>
    <w:rsid w:val="00C27AE0"/>
    <w:rsid w:val="00C547AB"/>
    <w:rsid w:val="00C623DD"/>
    <w:rsid w:val="00C73A29"/>
    <w:rsid w:val="00C7538E"/>
    <w:rsid w:val="00C80872"/>
    <w:rsid w:val="00CA25F8"/>
    <w:rsid w:val="00CA6A9D"/>
    <w:rsid w:val="00CB1577"/>
    <w:rsid w:val="00CD60BA"/>
    <w:rsid w:val="00CE20FA"/>
    <w:rsid w:val="00CF54DB"/>
    <w:rsid w:val="00D04204"/>
    <w:rsid w:val="00D10863"/>
    <w:rsid w:val="00D14E54"/>
    <w:rsid w:val="00D273E9"/>
    <w:rsid w:val="00D63EC0"/>
    <w:rsid w:val="00D767A4"/>
    <w:rsid w:val="00D836C2"/>
    <w:rsid w:val="00D9014B"/>
    <w:rsid w:val="00D9671D"/>
    <w:rsid w:val="00DA442F"/>
    <w:rsid w:val="00DA45CF"/>
    <w:rsid w:val="00DC269B"/>
    <w:rsid w:val="00DC56D9"/>
    <w:rsid w:val="00DC64E2"/>
    <w:rsid w:val="00DD0497"/>
    <w:rsid w:val="00DE2E5B"/>
    <w:rsid w:val="00E0148F"/>
    <w:rsid w:val="00E2410B"/>
    <w:rsid w:val="00E34604"/>
    <w:rsid w:val="00E4395A"/>
    <w:rsid w:val="00E94AAE"/>
    <w:rsid w:val="00EA1C8F"/>
    <w:rsid w:val="00EB7C28"/>
    <w:rsid w:val="00EF28A8"/>
    <w:rsid w:val="00F71C5C"/>
    <w:rsid w:val="00F726E7"/>
    <w:rsid w:val="00F930F1"/>
    <w:rsid w:val="00FB0301"/>
    <w:rsid w:val="00FC4184"/>
    <w:rsid w:val="00FE246F"/>
    <w:rsid w:val="00FE28EF"/>
    <w:rsid w:val="00FF4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56"/>
    <w:pPr>
      <w:ind w:left="720"/>
      <w:contextualSpacing/>
    </w:pPr>
  </w:style>
  <w:style w:type="paragraph" w:styleId="Header">
    <w:name w:val="header"/>
    <w:basedOn w:val="Normal"/>
    <w:link w:val="HeaderChar"/>
    <w:rsid w:val="006C3B9E"/>
    <w:pPr>
      <w:tabs>
        <w:tab w:val="center" w:pos="4680"/>
        <w:tab w:val="right" w:pos="9360"/>
      </w:tabs>
    </w:pPr>
  </w:style>
  <w:style w:type="character" w:customStyle="1" w:styleId="HeaderChar">
    <w:name w:val="Header Char"/>
    <w:basedOn w:val="DefaultParagraphFont"/>
    <w:link w:val="Header"/>
    <w:rsid w:val="006C3B9E"/>
    <w:rPr>
      <w:sz w:val="24"/>
      <w:szCs w:val="24"/>
    </w:rPr>
  </w:style>
  <w:style w:type="paragraph" w:styleId="Footer">
    <w:name w:val="footer"/>
    <w:basedOn w:val="Normal"/>
    <w:link w:val="FooterChar"/>
    <w:rsid w:val="006C3B9E"/>
    <w:pPr>
      <w:tabs>
        <w:tab w:val="center" w:pos="4680"/>
        <w:tab w:val="right" w:pos="9360"/>
      </w:tabs>
    </w:pPr>
  </w:style>
  <w:style w:type="character" w:customStyle="1" w:styleId="FooterChar">
    <w:name w:val="Footer Char"/>
    <w:basedOn w:val="DefaultParagraphFont"/>
    <w:link w:val="Footer"/>
    <w:rsid w:val="006C3B9E"/>
    <w:rPr>
      <w:sz w:val="24"/>
      <w:szCs w:val="24"/>
    </w:rPr>
  </w:style>
  <w:style w:type="paragraph" w:customStyle="1" w:styleId="Default">
    <w:name w:val="Default"/>
    <w:rsid w:val="00672092"/>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887B3B"/>
    <w:rPr>
      <w:rFonts w:ascii="Segoe UI" w:hAnsi="Segoe UI" w:cs="Segoe UI"/>
      <w:sz w:val="18"/>
      <w:szCs w:val="18"/>
    </w:rPr>
  </w:style>
  <w:style w:type="character" w:customStyle="1" w:styleId="BalloonTextChar">
    <w:name w:val="Balloon Text Char"/>
    <w:basedOn w:val="DefaultParagraphFont"/>
    <w:link w:val="BalloonText"/>
    <w:semiHidden/>
    <w:rsid w:val="00887B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STATEMENT</vt:lpstr>
    </vt:vector>
  </TitlesOfParts>
  <Company>ARNG</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dc:title>
  <dc:creator>aaron.d.lau</dc:creator>
  <cp:lastModifiedBy>csiu</cp:lastModifiedBy>
  <cp:revision>2</cp:revision>
  <cp:lastPrinted>2015-04-15T00:18:00Z</cp:lastPrinted>
  <dcterms:created xsi:type="dcterms:W3CDTF">2015-05-07T00:43:00Z</dcterms:created>
  <dcterms:modified xsi:type="dcterms:W3CDTF">2015-05-07T00:43:00Z</dcterms:modified>
</cp:coreProperties>
</file>